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9645" w14:textId="40817EA6" w:rsidR="000C6401" w:rsidRPr="00042F8A" w:rsidRDefault="00211450" w:rsidP="00211450">
      <w:pPr>
        <w:jc w:val="center"/>
        <w:rPr>
          <w:rFonts w:ascii="Times New Roman" w:hAnsi="Times New Roman" w:cs="Times New Roman"/>
          <w:b/>
          <w:bCs/>
          <w:sz w:val="28"/>
          <w:szCs w:val="28"/>
        </w:rPr>
      </w:pPr>
      <w:r w:rsidRPr="00042F8A">
        <w:rPr>
          <w:rFonts w:ascii="Times New Roman" w:hAnsi="Times New Roman" w:cs="Times New Roman"/>
          <w:b/>
          <w:bCs/>
          <w:sz w:val="28"/>
          <w:szCs w:val="28"/>
        </w:rPr>
        <w:t>Quality Assurance System (QAS) Process for Data Quality</w:t>
      </w:r>
    </w:p>
    <w:p w14:paraId="42E46AF0" w14:textId="4FE761B6" w:rsidR="00211450" w:rsidRDefault="00211450" w:rsidP="00211450">
      <w:pPr>
        <w:jc w:val="center"/>
        <w:rPr>
          <w:rFonts w:ascii="Times New Roman" w:hAnsi="Times New Roman" w:cs="Times New Roman"/>
        </w:rPr>
      </w:pPr>
    </w:p>
    <w:p w14:paraId="7A9C6BDD" w14:textId="3FA123B3" w:rsidR="00211450" w:rsidRDefault="00042F8A" w:rsidP="00211450">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82FD08E" wp14:editId="2F897640">
                <wp:simplePos x="0" y="0"/>
                <wp:positionH relativeFrom="column">
                  <wp:posOffset>1560112</wp:posOffset>
                </wp:positionH>
                <wp:positionV relativeFrom="paragraph">
                  <wp:posOffset>1784427</wp:posOffset>
                </wp:positionV>
                <wp:extent cx="159657" cy="1030333"/>
                <wp:effectExtent l="12700" t="0" r="31115" b="24130"/>
                <wp:wrapNone/>
                <wp:docPr id="3" name="Down Arrow 3"/>
                <wp:cNvGraphicFramePr/>
                <a:graphic xmlns:a="http://schemas.openxmlformats.org/drawingml/2006/main">
                  <a:graphicData uri="http://schemas.microsoft.com/office/word/2010/wordprocessingShape">
                    <wps:wsp>
                      <wps:cNvSpPr/>
                      <wps:spPr>
                        <a:xfrm>
                          <a:off x="0" y="0"/>
                          <a:ext cx="159657" cy="10303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56C5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22.85pt;margin-top:140.5pt;width:12.55pt;height:8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" adj="19926" fillcolor="#4472c4 [3204]" strokecolor="#1f3763 [1604]" strokeweight="1pt"/>
            </w:pict>
          </mc:Fallback>
        </mc:AlternateContent>
      </w:r>
      <w:r w:rsidR="00211450">
        <w:rPr>
          <w:rFonts w:ascii="Times New Roman" w:hAnsi="Times New Roman" w:cs="Times New Roman"/>
          <w:noProof/>
        </w:rPr>
        <w:drawing>
          <wp:inline distT="0" distB="0" distL="0" distR="0" wp14:anchorId="0E1EAC9C" wp14:editId="23E37374">
            <wp:extent cx="3874861" cy="2614295"/>
            <wp:effectExtent l="0" t="12700" r="1143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72B37C4" w14:textId="52FAA4FA" w:rsidR="00211450" w:rsidRDefault="00211450" w:rsidP="00211450">
      <w:pPr>
        <w:jc w:val="center"/>
        <w:rPr>
          <w:rFonts w:ascii="Times New Roman" w:hAnsi="Times New Roman" w:cs="Times New Roman"/>
        </w:rPr>
      </w:pPr>
    </w:p>
    <w:p w14:paraId="429FDD12" w14:textId="1B1CA162" w:rsidR="00AB6D0A" w:rsidRPr="00AB6D0A" w:rsidRDefault="00AB6D0A" w:rsidP="00AB6D0A">
      <w:pPr>
        <w:jc w:val="center"/>
        <w:rPr>
          <w:rFonts w:ascii="Times New Roman" w:hAnsi="Times New Roman" w:cs="Times New Roman"/>
          <w:b/>
          <w:bCs/>
        </w:rPr>
      </w:pPr>
      <w:r w:rsidRPr="00AB6D0A">
        <w:rPr>
          <w:rFonts w:ascii="Times New Roman" w:hAnsi="Times New Roman" w:cs="Times New Roman"/>
          <w:b/>
          <w:bCs/>
        </w:rPr>
        <w:t>Addressing Trustworthiness/Fairness in Assessments and Rubrics</w:t>
      </w:r>
    </w:p>
    <w:p w14:paraId="76900368" w14:textId="77777777" w:rsidR="00AB6D0A" w:rsidRDefault="00AB6D0A" w:rsidP="00211450">
      <w:pPr>
        <w:rPr>
          <w:rFonts w:ascii="Times New Roman" w:hAnsi="Times New Roman" w:cs="Times New Roman"/>
        </w:rPr>
      </w:pPr>
    </w:p>
    <w:p w14:paraId="782B65E3" w14:textId="09F0D109" w:rsidR="00AB6D0A" w:rsidRDefault="00AB6D0A" w:rsidP="00211450">
      <w:pPr>
        <w:rPr>
          <w:rFonts w:ascii="Times New Roman" w:hAnsi="Times New Roman" w:cs="Times New Roman"/>
        </w:rPr>
      </w:pPr>
      <w:r>
        <w:rPr>
          <w:rFonts w:ascii="Times New Roman" w:hAnsi="Times New Roman" w:cs="Times New Roman"/>
        </w:rPr>
        <w:t>Faculty Name:</w:t>
      </w:r>
    </w:p>
    <w:p w14:paraId="5E77DAE5" w14:textId="77777777" w:rsidR="00AB6D0A" w:rsidRDefault="00AB6D0A" w:rsidP="00211450">
      <w:pPr>
        <w:rPr>
          <w:rFonts w:ascii="Times New Roman" w:hAnsi="Times New Roman" w:cs="Times New Roman"/>
        </w:rPr>
      </w:pPr>
      <w:r>
        <w:rPr>
          <w:rFonts w:ascii="Times New Roman" w:hAnsi="Times New Roman" w:cs="Times New Roman"/>
        </w:rPr>
        <w:t>Course:</w:t>
      </w:r>
    </w:p>
    <w:p w14:paraId="11576CE6" w14:textId="77777777" w:rsidR="00AB6D0A" w:rsidRDefault="00AB6D0A" w:rsidP="00211450">
      <w:pPr>
        <w:rPr>
          <w:rFonts w:ascii="Times New Roman" w:hAnsi="Times New Roman" w:cs="Times New Roman"/>
        </w:rPr>
      </w:pPr>
      <w:r>
        <w:rPr>
          <w:rFonts w:ascii="Times New Roman" w:hAnsi="Times New Roman" w:cs="Times New Roman"/>
        </w:rPr>
        <w:t>Name of Assessment:</w:t>
      </w:r>
    </w:p>
    <w:p w14:paraId="71B88BA2" w14:textId="2637F87E" w:rsidR="00AB6D0A" w:rsidRDefault="00AB6D0A" w:rsidP="00211450">
      <w:pPr>
        <w:rPr>
          <w:rFonts w:ascii="Times New Roman" w:hAnsi="Times New Roman" w:cs="Times New Roman"/>
        </w:rPr>
      </w:pPr>
      <w:r>
        <w:rPr>
          <w:rFonts w:ascii="Times New Roman" w:hAnsi="Times New Roman" w:cs="Times New Roman"/>
        </w:rPr>
        <w:t>Name of Rubric:</w:t>
      </w:r>
    </w:p>
    <w:p w14:paraId="7F25F3A7" w14:textId="1FDA1D69" w:rsidR="00AB6D0A" w:rsidRDefault="00042F8A" w:rsidP="00211450">
      <w:pPr>
        <w:rPr>
          <w:rFonts w:ascii="Times New Roman" w:hAnsi="Times New Roman" w:cs="Times New Roman"/>
        </w:rPr>
      </w:pPr>
      <w:r>
        <w:rPr>
          <w:rFonts w:ascii="Times New Roman" w:hAnsi="Times New Roman" w:cs="Times New Roman"/>
        </w:rPr>
        <w:t>Part of Term/Year</w:t>
      </w:r>
      <w:r w:rsidR="00AB6D0A">
        <w:rPr>
          <w:rFonts w:ascii="Times New Roman" w:hAnsi="Times New Roman" w:cs="Times New Roman"/>
        </w:rPr>
        <w:t>:</w:t>
      </w:r>
    </w:p>
    <w:p w14:paraId="3A749DC4" w14:textId="77777777" w:rsidR="00AB6D0A" w:rsidRDefault="00AB6D0A" w:rsidP="00211450">
      <w:pPr>
        <w:rPr>
          <w:rFonts w:ascii="Times New Roman" w:hAnsi="Times New Roman" w:cs="Times New Roman"/>
        </w:rPr>
      </w:pPr>
    </w:p>
    <w:p w14:paraId="5FA99412" w14:textId="4FD1B0B3" w:rsidR="00211450" w:rsidRPr="00AB6D0A" w:rsidRDefault="00211450" w:rsidP="00211450">
      <w:pPr>
        <w:rPr>
          <w:rFonts w:ascii="Times New Roman" w:hAnsi="Times New Roman" w:cs="Times New Roman"/>
        </w:rPr>
      </w:pPr>
      <w:r w:rsidRPr="00AB6D0A">
        <w:rPr>
          <w:rFonts w:ascii="Times New Roman" w:hAnsi="Times New Roman" w:cs="Times New Roman"/>
        </w:rPr>
        <w:t>Trustworthiness and Fairness are addressed before determining the content validity ratio. They can also be addressed after the content validity ratio to help explain scores.  Use the assessment instructions and rubrics to examine:</w:t>
      </w:r>
    </w:p>
    <w:p w14:paraId="1CB4B890" w14:textId="77777777" w:rsidR="00211450" w:rsidRPr="00AB6D0A" w:rsidRDefault="00211450" w:rsidP="00AB6D0A">
      <w:pPr>
        <w:pStyle w:val="ListParagraph"/>
        <w:numPr>
          <w:ilvl w:val="0"/>
          <w:numId w:val="2"/>
        </w:numPr>
      </w:pPr>
      <w:r w:rsidRPr="00AB6D0A">
        <w:t xml:space="preserve">Internal credibility (i.e., truth value, applicability, consistency neutrality, dependability, and credibility of interpretations/conclusions. </w:t>
      </w:r>
    </w:p>
    <w:p w14:paraId="45C0E713" w14:textId="77777777" w:rsidR="00AB6D0A" w:rsidRPr="00AB6D0A" w:rsidRDefault="00211450" w:rsidP="00AB6D0A">
      <w:pPr>
        <w:pStyle w:val="ListParagraph"/>
        <w:numPr>
          <w:ilvl w:val="0"/>
          <w:numId w:val="2"/>
        </w:numPr>
      </w:pPr>
      <w:r w:rsidRPr="00AB6D0A">
        <w:t xml:space="preserve">External credibility (i.e., the degree to which the results can be generalized across the candidates in the program). This is accomplished using Guba and Lincoln’s (1989) authenticity criteria. </w:t>
      </w:r>
    </w:p>
    <w:p w14:paraId="3EC8A940" w14:textId="79FBA39E" w:rsidR="00211450" w:rsidRPr="00AB6D0A" w:rsidRDefault="00211450" w:rsidP="00AB6D0A">
      <w:pPr>
        <w:rPr>
          <w:rFonts w:ascii="Times New Roman" w:hAnsi="Times New Roman" w:cs="Times New Roman"/>
        </w:rPr>
      </w:pPr>
      <w:r w:rsidRPr="00AB6D0A">
        <w:rPr>
          <w:rFonts w:ascii="Times New Roman" w:hAnsi="Times New Roman" w:cs="Times New Roman"/>
        </w:rPr>
        <w:t>For each item</w:t>
      </w:r>
      <w:r w:rsidR="00B01330" w:rsidRPr="00AB6D0A">
        <w:rPr>
          <w:rFonts w:ascii="Times New Roman" w:hAnsi="Times New Roman" w:cs="Times New Roman"/>
        </w:rPr>
        <w:t>, review the following and present evidence/method to increase credibility.</w:t>
      </w:r>
    </w:p>
    <w:p w14:paraId="098D8F26" w14:textId="77777777" w:rsidR="00B01330" w:rsidRDefault="00B01330" w:rsidP="00211450"/>
    <w:tbl>
      <w:tblPr>
        <w:tblStyle w:val="TableGrid"/>
        <w:tblW w:w="0" w:type="auto"/>
        <w:tblLook w:val="04A0" w:firstRow="1" w:lastRow="0" w:firstColumn="1" w:lastColumn="0" w:noHBand="0" w:noVBand="1"/>
      </w:tblPr>
      <w:tblGrid>
        <w:gridCol w:w="2848"/>
        <w:gridCol w:w="2907"/>
        <w:gridCol w:w="3595"/>
      </w:tblGrid>
      <w:tr w:rsidR="00B01330" w:rsidRPr="00AB6D0A" w14:paraId="275437CA" w14:textId="1654E4E6" w:rsidTr="00AB6D0A">
        <w:tc>
          <w:tcPr>
            <w:tcW w:w="2848" w:type="dxa"/>
            <w:shd w:val="clear" w:color="auto" w:fill="404040" w:themeFill="text1" w:themeFillTint="BF"/>
          </w:tcPr>
          <w:p w14:paraId="6DBA826D" w14:textId="0F83B107" w:rsidR="00B01330" w:rsidRPr="00AB6D0A" w:rsidRDefault="00B01330" w:rsidP="00211450">
            <w:pPr>
              <w:rPr>
                <w:rFonts w:ascii="Times New Roman" w:hAnsi="Times New Roman" w:cs="Times New Roman"/>
                <w:color w:val="FFFFFF" w:themeColor="background1"/>
              </w:rPr>
            </w:pPr>
            <w:r w:rsidRPr="00AB6D0A">
              <w:rPr>
                <w:rFonts w:ascii="Times New Roman" w:hAnsi="Times New Roman" w:cs="Times New Roman"/>
                <w:color w:val="FFFFFF" w:themeColor="background1"/>
              </w:rPr>
              <w:t>Criteria</w:t>
            </w:r>
          </w:p>
        </w:tc>
        <w:tc>
          <w:tcPr>
            <w:tcW w:w="2907" w:type="dxa"/>
            <w:shd w:val="clear" w:color="auto" w:fill="404040" w:themeFill="text1" w:themeFillTint="BF"/>
          </w:tcPr>
          <w:p w14:paraId="272A92F3" w14:textId="16762DD9" w:rsidR="00B01330" w:rsidRPr="00AB6D0A" w:rsidRDefault="00B01330" w:rsidP="00211450">
            <w:pPr>
              <w:rPr>
                <w:rFonts w:ascii="Times New Roman" w:hAnsi="Times New Roman" w:cs="Times New Roman"/>
                <w:color w:val="FFFFFF" w:themeColor="background1"/>
              </w:rPr>
            </w:pPr>
            <w:r w:rsidRPr="00AB6D0A">
              <w:rPr>
                <w:rFonts w:ascii="Times New Roman" w:hAnsi="Times New Roman" w:cs="Times New Roman"/>
                <w:color w:val="FFFFFF" w:themeColor="background1"/>
              </w:rPr>
              <w:t>Definition</w:t>
            </w:r>
          </w:p>
        </w:tc>
        <w:tc>
          <w:tcPr>
            <w:tcW w:w="3595" w:type="dxa"/>
            <w:shd w:val="clear" w:color="auto" w:fill="404040" w:themeFill="text1" w:themeFillTint="BF"/>
          </w:tcPr>
          <w:p w14:paraId="51DE100A" w14:textId="3369ED30" w:rsidR="00B01330" w:rsidRPr="00AB6D0A" w:rsidRDefault="00AB6D0A" w:rsidP="00211450">
            <w:pPr>
              <w:rPr>
                <w:rFonts w:ascii="Times New Roman" w:hAnsi="Times New Roman" w:cs="Times New Roman"/>
                <w:color w:val="FFFFFF" w:themeColor="background1"/>
              </w:rPr>
            </w:pPr>
            <w:r w:rsidRPr="00AB6D0A">
              <w:rPr>
                <w:rFonts w:ascii="Times New Roman" w:hAnsi="Times New Roman" w:cs="Times New Roman"/>
                <w:color w:val="FFFFFF" w:themeColor="background1"/>
              </w:rPr>
              <w:t>Method to Evaluate/Increase Legitimation</w:t>
            </w:r>
          </w:p>
        </w:tc>
      </w:tr>
      <w:tr w:rsidR="00B01330" w:rsidRPr="00AB6D0A" w14:paraId="6BBED5C2" w14:textId="4F1A2A38" w:rsidTr="00AB6D0A">
        <w:tc>
          <w:tcPr>
            <w:tcW w:w="2848" w:type="dxa"/>
          </w:tcPr>
          <w:p w14:paraId="64ED0D1C" w14:textId="1A949A3B" w:rsidR="00B01330" w:rsidRPr="00AB6D0A" w:rsidRDefault="00B01330" w:rsidP="00211450">
            <w:pPr>
              <w:rPr>
                <w:rFonts w:ascii="Times New Roman" w:hAnsi="Times New Roman" w:cs="Times New Roman"/>
              </w:rPr>
            </w:pPr>
            <w:r w:rsidRPr="00AB6D0A">
              <w:rPr>
                <w:rFonts w:ascii="Times New Roman" w:hAnsi="Times New Roman" w:cs="Times New Roman"/>
              </w:rPr>
              <w:t>Fairness</w:t>
            </w:r>
          </w:p>
        </w:tc>
        <w:tc>
          <w:tcPr>
            <w:tcW w:w="2907" w:type="dxa"/>
          </w:tcPr>
          <w:p w14:paraId="751CC502" w14:textId="360BD5DD" w:rsidR="00B01330" w:rsidRPr="00AB6D0A" w:rsidRDefault="002C4733" w:rsidP="00211450">
            <w:pPr>
              <w:rPr>
                <w:rFonts w:ascii="Times New Roman" w:hAnsi="Times New Roman" w:cs="Times New Roman"/>
              </w:rPr>
            </w:pPr>
            <w:r>
              <w:rPr>
                <w:rFonts w:ascii="Times New Roman" w:hAnsi="Times New Roman" w:cs="Times New Roman"/>
              </w:rPr>
              <w:t>T</w:t>
            </w:r>
            <w:r w:rsidR="00B01330" w:rsidRPr="00AB6D0A">
              <w:rPr>
                <w:rFonts w:ascii="Times New Roman" w:hAnsi="Times New Roman" w:cs="Times New Roman"/>
              </w:rPr>
              <w:t>he extent to which respect and value is given to the evaluation process</w:t>
            </w:r>
          </w:p>
        </w:tc>
        <w:tc>
          <w:tcPr>
            <w:tcW w:w="3595" w:type="dxa"/>
          </w:tcPr>
          <w:p w14:paraId="39D29756" w14:textId="77777777" w:rsidR="00B01330" w:rsidRPr="00AB6D0A" w:rsidRDefault="00B01330" w:rsidP="00211450">
            <w:pPr>
              <w:rPr>
                <w:rFonts w:ascii="Times New Roman" w:hAnsi="Times New Roman" w:cs="Times New Roman"/>
              </w:rPr>
            </w:pPr>
          </w:p>
        </w:tc>
      </w:tr>
      <w:tr w:rsidR="00B01330" w:rsidRPr="00AB6D0A" w14:paraId="16850ECD" w14:textId="5F0494C8" w:rsidTr="00AB6D0A">
        <w:tc>
          <w:tcPr>
            <w:tcW w:w="2848" w:type="dxa"/>
          </w:tcPr>
          <w:p w14:paraId="131B7362" w14:textId="2CF55F8C" w:rsidR="00B01330" w:rsidRPr="00AB6D0A" w:rsidRDefault="00B01330" w:rsidP="00211450">
            <w:pPr>
              <w:rPr>
                <w:rFonts w:ascii="Times New Roman" w:hAnsi="Times New Roman" w:cs="Times New Roman"/>
              </w:rPr>
            </w:pPr>
            <w:r w:rsidRPr="00AB6D0A">
              <w:rPr>
                <w:rFonts w:ascii="Times New Roman" w:hAnsi="Times New Roman" w:cs="Times New Roman"/>
              </w:rPr>
              <w:t>Ontological authenticity</w:t>
            </w:r>
          </w:p>
        </w:tc>
        <w:tc>
          <w:tcPr>
            <w:tcW w:w="2907" w:type="dxa"/>
          </w:tcPr>
          <w:p w14:paraId="1F262C7A" w14:textId="32FF74E7" w:rsidR="00B01330" w:rsidRPr="00AB6D0A" w:rsidRDefault="002C4733" w:rsidP="00211450">
            <w:pPr>
              <w:rPr>
                <w:rFonts w:ascii="Times New Roman" w:hAnsi="Times New Roman" w:cs="Times New Roman"/>
              </w:rPr>
            </w:pPr>
            <w:r>
              <w:rPr>
                <w:rFonts w:ascii="Times New Roman" w:hAnsi="Times New Roman" w:cs="Times New Roman"/>
              </w:rPr>
              <w:t>T</w:t>
            </w:r>
            <w:r w:rsidR="00B01330" w:rsidRPr="00AB6D0A">
              <w:rPr>
                <w:rFonts w:ascii="Times New Roman" w:hAnsi="Times New Roman" w:cs="Times New Roman"/>
              </w:rPr>
              <w:t>he way the assignment brings awareness to candidates</w:t>
            </w:r>
          </w:p>
        </w:tc>
        <w:tc>
          <w:tcPr>
            <w:tcW w:w="3595" w:type="dxa"/>
          </w:tcPr>
          <w:p w14:paraId="4DCCB4FE" w14:textId="77777777" w:rsidR="00B01330" w:rsidRPr="00AB6D0A" w:rsidRDefault="00B01330" w:rsidP="00211450">
            <w:pPr>
              <w:rPr>
                <w:rFonts w:ascii="Times New Roman" w:hAnsi="Times New Roman" w:cs="Times New Roman"/>
              </w:rPr>
            </w:pPr>
          </w:p>
        </w:tc>
      </w:tr>
      <w:tr w:rsidR="00B01330" w:rsidRPr="00AB6D0A" w14:paraId="6A05A0D5" w14:textId="4148432C" w:rsidTr="00AB6D0A">
        <w:tc>
          <w:tcPr>
            <w:tcW w:w="2848" w:type="dxa"/>
          </w:tcPr>
          <w:p w14:paraId="09959715" w14:textId="67782F3B" w:rsidR="00B01330" w:rsidRPr="00AB6D0A" w:rsidRDefault="00B01330" w:rsidP="00211450">
            <w:pPr>
              <w:rPr>
                <w:rFonts w:ascii="Times New Roman" w:hAnsi="Times New Roman" w:cs="Times New Roman"/>
              </w:rPr>
            </w:pPr>
            <w:r w:rsidRPr="00AB6D0A">
              <w:rPr>
                <w:rFonts w:ascii="Times New Roman" w:hAnsi="Times New Roman" w:cs="Times New Roman"/>
              </w:rPr>
              <w:t>Educative authenticity</w:t>
            </w:r>
          </w:p>
        </w:tc>
        <w:tc>
          <w:tcPr>
            <w:tcW w:w="2907" w:type="dxa"/>
          </w:tcPr>
          <w:p w14:paraId="4AD1B47B" w14:textId="5D002B32" w:rsidR="00B01330" w:rsidRPr="00AB6D0A" w:rsidRDefault="002C4733" w:rsidP="00211450">
            <w:pPr>
              <w:rPr>
                <w:rFonts w:ascii="Times New Roman" w:hAnsi="Times New Roman" w:cs="Times New Roman"/>
              </w:rPr>
            </w:pPr>
            <w:r>
              <w:rPr>
                <w:rFonts w:ascii="Times New Roman" w:hAnsi="Times New Roman" w:cs="Times New Roman"/>
              </w:rPr>
              <w:t>T</w:t>
            </w:r>
            <w:r w:rsidR="00B01330" w:rsidRPr="00AB6D0A">
              <w:rPr>
                <w:rFonts w:ascii="Times New Roman" w:hAnsi="Times New Roman" w:cs="Times New Roman"/>
              </w:rPr>
              <w:t xml:space="preserve">he extent that the assignment helps candidates understand and </w:t>
            </w:r>
            <w:r w:rsidR="00B01330" w:rsidRPr="00AB6D0A">
              <w:rPr>
                <w:rFonts w:ascii="Times New Roman" w:hAnsi="Times New Roman" w:cs="Times New Roman"/>
              </w:rPr>
              <w:lastRenderedPageBreak/>
              <w:t>appreciate diverse value systems of others</w:t>
            </w:r>
          </w:p>
        </w:tc>
        <w:tc>
          <w:tcPr>
            <w:tcW w:w="3595" w:type="dxa"/>
          </w:tcPr>
          <w:p w14:paraId="0C45D318" w14:textId="77777777" w:rsidR="00B01330" w:rsidRPr="00AB6D0A" w:rsidRDefault="00B01330" w:rsidP="00211450">
            <w:pPr>
              <w:rPr>
                <w:rFonts w:ascii="Times New Roman" w:hAnsi="Times New Roman" w:cs="Times New Roman"/>
              </w:rPr>
            </w:pPr>
          </w:p>
        </w:tc>
      </w:tr>
      <w:tr w:rsidR="00B01330" w:rsidRPr="00AB6D0A" w14:paraId="4F036AA9" w14:textId="6DBFE69B" w:rsidTr="00AB6D0A">
        <w:tc>
          <w:tcPr>
            <w:tcW w:w="2848" w:type="dxa"/>
          </w:tcPr>
          <w:p w14:paraId="74F7F686" w14:textId="4321481F" w:rsidR="00B01330" w:rsidRPr="00AB6D0A" w:rsidRDefault="00B01330" w:rsidP="00211450">
            <w:pPr>
              <w:rPr>
                <w:rFonts w:ascii="Times New Roman" w:hAnsi="Times New Roman" w:cs="Times New Roman"/>
              </w:rPr>
            </w:pPr>
            <w:r w:rsidRPr="00AB6D0A">
              <w:rPr>
                <w:rFonts w:ascii="Times New Roman" w:hAnsi="Times New Roman" w:cs="Times New Roman"/>
              </w:rPr>
              <w:t>Catalytic authenticity</w:t>
            </w:r>
          </w:p>
        </w:tc>
        <w:tc>
          <w:tcPr>
            <w:tcW w:w="2907" w:type="dxa"/>
          </w:tcPr>
          <w:p w14:paraId="67B96924" w14:textId="62C7D3F5" w:rsidR="00B01330" w:rsidRPr="00AB6D0A" w:rsidRDefault="002C4733" w:rsidP="00211450">
            <w:pPr>
              <w:rPr>
                <w:rFonts w:ascii="Times New Roman" w:hAnsi="Times New Roman" w:cs="Times New Roman"/>
              </w:rPr>
            </w:pPr>
            <w:r>
              <w:rPr>
                <w:rFonts w:ascii="Times New Roman" w:hAnsi="Times New Roman" w:cs="Times New Roman"/>
              </w:rPr>
              <w:t>T</w:t>
            </w:r>
            <w:r w:rsidR="00B01330" w:rsidRPr="00AB6D0A">
              <w:rPr>
                <w:rFonts w:ascii="Times New Roman" w:hAnsi="Times New Roman" w:cs="Times New Roman"/>
              </w:rPr>
              <w:t>he constructions in the assignment that would lead to actions or decisions by candidates</w:t>
            </w:r>
          </w:p>
        </w:tc>
        <w:tc>
          <w:tcPr>
            <w:tcW w:w="3595" w:type="dxa"/>
          </w:tcPr>
          <w:p w14:paraId="75FEAC8F" w14:textId="77777777" w:rsidR="00B01330" w:rsidRPr="00AB6D0A" w:rsidRDefault="00B01330" w:rsidP="00211450">
            <w:pPr>
              <w:rPr>
                <w:rFonts w:ascii="Times New Roman" w:hAnsi="Times New Roman" w:cs="Times New Roman"/>
              </w:rPr>
            </w:pPr>
          </w:p>
        </w:tc>
      </w:tr>
      <w:tr w:rsidR="00B01330" w:rsidRPr="00AB6D0A" w14:paraId="0ED2F971" w14:textId="462EEBA6" w:rsidTr="00AB6D0A">
        <w:tc>
          <w:tcPr>
            <w:tcW w:w="2848" w:type="dxa"/>
          </w:tcPr>
          <w:p w14:paraId="511FB467" w14:textId="4D1FD28A" w:rsidR="00B01330" w:rsidRPr="00AB6D0A" w:rsidRDefault="00B01330" w:rsidP="00211450">
            <w:pPr>
              <w:rPr>
                <w:rFonts w:ascii="Times New Roman" w:hAnsi="Times New Roman" w:cs="Times New Roman"/>
              </w:rPr>
            </w:pPr>
            <w:r w:rsidRPr="00AB6D0A">
              <w:rPr>
                <w:rFonts w:ascii="Times New Roman" w:hAnsi="Times New Roman" w:cs="Times New Roman"/>
              </w:rPr>
              <w:t>Tactical authenticity</w:t>
            </w:r>
          </w:p>
        </w:tc>
        <w:tc>
          <w:tcPr>
            <w:tcW w:w="2907" w:type="dxa"/>
          </w:tcPr>
          <w:p w14:paraId="4858B98C" w14:textId="75A636B9" w:rsidR="00B01330" w:rsidRPr="00AB6D0A" w:rsidRDefault="002C4733" w:rsidP="00211450">
            <w:pPr>
              <w:rPr>
                <w:rFonts w:ascii="Times New Roman" w:hAnsi="Times New Roman" w:cs="Times New Roman"/>
              </w:rPr>
            </w:pPr>
            <w:r>
              <w:rPr>
                <w:rFonts w:ascii="Times New Roman" w:hAnsi="Times New Roman" w:cs="Times New Roman"/>
              </w:rPr>
              <w:t>T</w:t>
            </w:r>
            <w:r w:rsidR="00B01330" w:rsidRPr="00AB6D0A">
              <w:rPr>
                <w:rFonts w:ascii="Times New Roman" w:hAnsi="Times New Roman" w:cs="Times New Roman"/>
              </w:rPr>
              <w:t>he ability of the assignment/rubric to empower participants or those learners/stakeholders with whom they work</w:t>
            </w:r>
          </w:p>
        </w:tc>
        <w:tc>
          <w:tcPr>
            <w:tcW w:w="3595" w:type="dxa"/>
          </w:tcPr>
          <w:p w14:paraId="11132955" w14:textId="77777777" w:rsidR="00B01330" w:rsidRPr="00AB6D0A" w:rsidRDefault="00B01330" w:rsidP="00211450">
            <w:pPr>
              <w:rPr>
                <w:rFonts w:ascii="Times New Roman" w:hAnsi="Times New Roman" w:cs="Times New Roman"/>
              </w:rPr>
            </w:pPr>
          </w:p>
        </w:tc>
      </w:tr>
    </w:tbl>
    <w:p w14:paraId="5621932C" w14:textId="5DE87FC0" w:rsidR="00B01330" w:rsidRDefault="00B01330" w:rsidP="00211450"/>
    <w:p w14:paraId="3B79CE6E" w14:textId="12813386" w:rsidR="00AB6D0A" w:rsidRPr="00AB6D0A" w:rsidRDefault="00AB6D0A" w:rsidP="00211450">
      <w:pPr>
        <w:rPr>
          <w:rFonts w:ascii="Times New Roman" w:hAnsi="Times New Roman" w:cs="Times New Roman"/>
        </w:rPr>
      </w:pPr>
      <w:r w:rsidRPr="00AB6D0A">
        <w:rPr>
          <w:rFonts w:ascii="Times New Roman" w:hAnsi="Times New Roman" w:cs="Times New Roman"/>
        </w:rPr>
        <w:t>Comments:</w:t>
      </w:r>
    </w:p>
    <w:p w14:paraId="673CBB62" w14:textId="77777777" w:rsidR="00211450" w:rsidRDefault="00211450" w:rsidP="00211450"/>
    <w:p w14:paraId="757A09FA" w14:textId="77777777" w:rsidR="00211450" w:rsidRDefault="00211450" w:rsidP="00211450"/>
    <w:tbl>
      <w:tblPr>
        <w:tblStyle w:val="TableGrid"/>
        <w:tblW w:w="0" w:type="auto"/>
        <w:tblLook w:val="04A0" w:firstRow="1" w:lastRow="0" w:firstColumn="1" w:lastColumn="0" w:noHBand="0" w:noVBand="1"/>
      </w:tblPr>
      <w:tblGrid>
        <w:gridCol w:w="2879"/>
        <w:gridCol w:w="2876"/>
        <w:gridCol w:w="3510"/>
      </w:tblGrid>
      <w:tr w:rsidR="00B01330" w:rsidRPr="00AB6D0A" w14:paraId="0EEBE1E4" w14:textId="77777777" w:rsidTr="00AB6D0A">
        <w:tc>
          <w:tcPr>
            <w:tcW w:w="2879" w:type="dxa"/>
            <w:shd w:val="clear" w:color="auto" w:fill="404040" w:themeFill="text1" w:themeFillTint="BF"/>
          </w:tcPr>
          <w:p w14:paraId="65DDB221" w14:textId="77777777" w:rsidR="00B01330" w:rsidRPr="00AB6D0A" w:rsidRDefault="00B01330" w:rsidP="00EE04C8">
            <w:pPr>
              <w:rPr>
                <w:rFonts w:ascii="Times New Roman" w:hAnsi="Times New Roman" w:cs="Times New Roman"/>
                <w:color w:val="FFFFFF" w:themeColor="background1"/>
              </w:rPr>
            </w:pPr>
            <w:r w:rsidRPr="00AB6D0A">
              <w:rPr>
                <w:rFonts w:ascii="Times New Roman" w:hAnsi="Times New Roman" w:cs="Times New Roman"/>
                <w:color w:val="FFFFFF" w:themeColor="background1"/>
              </w:rPr>
              <w:t>Threat to Credibility/Trustworthiness</w:t>
            </w:r>
          </w:p>
        </w:tc>
        <w:tc>
          <w:tcPr>
            <w:tcW w:w="2876" w:type="dxa"/>
            <w:shd w:val="clear" w:color="auto" w:fill="404040" w:themeFill="text1" w:themeFillTint="BF"/>
          </w:tcPr>
          <w:p w14:paraId="7807AF22" w14:textId="3813B5BA" w:rsidR="00B01330" w:rsidRPr="00AB6D0A" w:rsidRDefault="00AB6D0A" w:rsidP="00EE04C8">
            <w:pPr>
              <w:rPr>
                <w:rFonts w:ascii="Times New Roman" w:hAnsi="Times New Roman" w:cs="Times New Roman"/>
                <w:color w:val="FFFFFF" w:themeColor="background1"/>
              </w:rPr>
            </w:pPr>
            <w:r>
              <w:rPr>
                <w:rFonts w:ascii="Times New Roman" w:hAnsi="Times New Roman" w:cs="Times New Roman"/>
                <w:color w:val="FFFFFF" w:themeColor="background1"/>
              </w:rPr>
              <w:t>Definition</w:t>
            </w:r>
          </w:p>
        </w:tc>
        <w:tc>
          <w:tcPr>
            <w:tcW w:w="3510" w:type="dxa"/>
            <w:shd w:val="clear" w:color="auto" w:fill="404040" w:themeFill="text1" w:themeFillTint="BF"/>
          </w:tcPr>
          <w:p w14:paraId="05079500" w14:textId="3E485593" w:rsidR="00B01330" w:rsidRPr="00AB6D0A" w:rsidRDefault="00B01330" w:rsidP="00EE04C8">
            <w:pPr>
              <w:rPr>
                <w:rFonts w:ascii="Times New Roman" w:hAnsi="Times New Roman" w:cs="Times New Roman"/>
                <w:color w:val="FFFFFF" w:themeColor="background1"/>
              </w:rPr>
            </w:pPr>
            <w:r w:rsidRPr="00AB6D0A">
              <w:rPr>
                <w:rFonts w:ascii="Times New Roman" w:hAnsi="Times New Roman" w:cs="Times New Roman"/>
                <w:color w:val="FFFFFF" w:themeColor="background1"/>
              </w:rPr>
              <w:t>Method to Evaluate/Increase Legitimation</w:t>
            </w:r>
          </w:p>
        </w:tc>
      </w:tr>
      <w:tr w:rsidR="00B01330" w:rsidRPr="00AB6D0A" w14:paraId="62260A33" w14:textId="77777777" w:rsidTr="00AB6D0A">
        <w:tc>
          <w:tcPr>
            <w:tcW w:w="2879" w:type="dxa"/>
          </w:tcPr>
          <w:p w14:paraId="0A45A6D9" w14:textId="77777777" w:rsidR="00B01330" w:rsidRPr="00AB6D0A" w:rsidRDefault="00B01330" w:rsidP="00EE04C8">
            <w:pPr>
              <w:rPr>
                <w:rFonts w:ascii="Times New Roman" w:hAnsi="Times New Roman" w:cs="Times New Roman"/>
              </w:rPr>
            </w:pPr>
            <w:r w:rsidRPr="00AB6D0A">
              <w:rPr>
                <w:rFonts w:ascii="Times New Roman" w:hAnsi="Times New Roman" w:cs="Times New Roman"/>
              </w:rPr>
              <w:t>Descriptive validity</w:t>
            </w:r>
          </w:p>
        </w:tc>
        <w:tc>
          <w:tcPr>
            <w:tcW w:w="2876" w:type="dxa"/>
          </w:tcPr>
          <w:p w14:paraId="18725B83" w14:textId="050031E3" w:rsidR="00B01330" w:rsidRPr="00AB6D0A" w:rsidRDefault="00B01330" w:rsidP="00EE04C8">
            <w:pPr>
              <w:rPr>
                <w:rFonts w:ascii="Times New Roman" w:hAnsi="Times New Roman" w:cs="Times New Roman"/>
              </w:rPr>
            </w:pPr>
            <w:r w:rsidRPr="00AB6D0A">
              <w:rPr>
                <w:rFonts w:ascii="Times New Roman" w:hAnsi="Times New Roman" w:cs="Times New Roman"/>
              </w:rPr>
              <w:t>The descriptive accuracy of the assignment relating to standards and aligned with the rubric</w:t>
            </w:r>
          </w:p>
        </w:tc>
        <w:tc>
          <w:tcPr>
            <w:tcW w:w="3510" w:type="dxa"/>
          </w:tcPr>
          <w:p w14:paraId="1010735A" w14:textId="77777777" w:rsidR="00B01330" w:rsidRPr="00AB6D0A" w:rsidRDefault="00B01330" w:rsidP="00B01330">
            <w:pPr>
              <w:rPr>
                <w:rFonts w:ascii="Times New Roman" w:hAnsi="Times New Roman" w:cs="Times New Roman"/>
              </w:rPr>
            </w:pPr>
          </w:p>
        </w:tc>
      </w:tr>
      <w:tr w:rsidR="00B01330" w:rsidRPr="00AB6D0A" w14:paraId="36DB7D58" w14:textId="77777777" w:rsidTr="00AB6D0A">
        <w:tc>
          <w:tcPr>
            <w:tcW w:w="2879" w:type="dxa"/>
          </w:tcPr>
          <w:p w14:paraId="686243CE" w14:textId="77777777" w:rsidR="00B01330" w:rsidRPr="00AB6D0A" w:rsidRDefault="00B01330" w:rsidP="00EE04C8">
            <w:pPr>
              <w:rPr>
                <w:rFonts w:ascii="Times New Roman" w:hAnsi="Times New Roman" w:cs="Times New Roman"/>
              </w:rPr>
            </w:pPr>
            <w:r w:rsidRPr="00AB6D0A">
              <w:rPr>
                <w:rFonts w:ascii="Times New Roman" w:hAnsi="Times New Roman" w:cs="Times New Roman"/>
              </w:rPr>
              <w:t>Interpretive validity</w:t>
            </w:r>
          </w:p>
        </w:tc>
        <w:tc>
          <w:tcPr>
            <w:tcW w:w="2876" w:type="dxa"/>
          </w:tcPr>
          <w:p w14:paraId="48A0B81D" w14:textId="62B68D05" w:rsidR="00B01330" w:rsidRPr="00AB6D0A" w:rsidRDefault="00B01330" w:rsidP="00EE04C8">
            <w:pPr>
              <w:rPr>
                <w:rFonts w:ascii="Times New Roman" w:hAnsi="Times New Roman" w:cs="Times New Roman"/>
              </w:rPr>
            </w:pPr>
            <w:r w:rsidRPr="00AB6D0A">
              <w:rPr>
                <w:rFonts w:ascii="Times New Roman" w:hAnsi="Times New Roman" w:cs="Times New Roman"/>
              </w:rPr>
              <w:t>Inspection of the meanings attached to the assignment and recognizing potential bias</w:t>
            </w:r>
          </w:p>
        </w:tc>
        <w:tc>
          <w:tcPr>
            <w:tcW w:w="3510" w:type="dxa"/>
          </w:tcPr>
          <w:p w14:paraId="790102F6" w14:textId="77777777" w:rsidR="00B01330" w:rsidRPr="00AB6D0A" w:rsidRDefault="00B01330" w:rsidP="00AB6D0A">
            <w:pPr>
              <w:rPr>
                <w:rFonts w:ascii="Times New Roman" w:hAnsi="Times New Roman" w:cs="Times New Roman"/>
              </w:rPr>
            </w:pPr>
          </w:p>
        </w:tc>
      </w:tr>
      <w:tr w:rsidR="00B01330" w:rsidRPr="00AB6D0A" w14:paraId="11D7C6EE" w14:textId="77777777" w:rsidTr="00AB6D0A">
        <w:tc>
          <w:tcPr>
            <w:tcW w:w="2879" w:type="dxa"/>
          </w:tcPr>
          <w:p w14:paraId="0C03DD49" w14:textId="77777777" w:rsidR="00B01330" w:rsidRPr="00AB6D0A" w:rsidRDefault="00B01330" w:rsidP="00EE04C8">
            <w:pPr>
              <w:rPr>
                <w:rFonts w:ascii="Times New Roman" w:hAnsi="Times New Roman" w:cs="Times New Roman"/>
              </w:rPr>
            </w:pPr>
            <w:r w:rsidRPr="00AB6D0A">
              <w:rPr>
                <w:rFonts w:ascii="Times New Roman" w:hAnsi="Times New Roman" w:cs="Times New Roman"/>
              </w:rPr>
              <w:t>Theoretical validity</w:t>
            </w:r>
          </w:p>
        </w:tc>
        <w:tc>
          <w:tcPr>
            <w:tcW w:w="2876" w:type="dxa"/>
          </w:tcPr>
          <w:p w14:paraId="3A366767" w14:textId="1333661C" w:rsidR="00B01330" w:rsidRPr="00AB6D0A" w:rsidRDefault="00B01330" w:rsidP="00EE04C8">
            <w:pPr>
              <w:rPr>
                <w:rFonts w:ascii="Times New Roman" w:hAnsi="Times New Roman" w:cs="Times New Roman"/>
              </w:rPr>
            </w:pPr>
            <w:r w:rsidRPr="00AB6D0A">
              <w:rPr>
                <w:rFonts w:ascii="Times New Roman" w:hAnsi="Times New Roman" w:cs="Times New Roman"/>
              </w:rPr>
              <w:t>A theoretical explanation can be linked to the assignment/rubric so that it is a good fit with the learning outcomes and real-world experiences</w:t>
            </w:r>
          </w:p>
        </w:tc>
        <w:tc>
          <w:tcPr>
            <w:tcW w:w="3510" w:type="dxa"/>
          </w:tcPr>
          <w:p w14:paraId="245FFF74" w14:textId="77777777" w:rsidR="00B01330" w:rsidRPr="00AB6D0A" w:rsidRDefault="00B01330" w:rsidP="00AB6D0A">
            <w:pPr>
              <w:rPr>
                <w:rFonts w:ascii="Times New Roman" w:hAnsi="Times New Roman" w:cs="Times New Roman"/>
              </w:rPr>
            </w:pPr>
          </w:p>
        </w:tc>
      </w:tr>
      <w:tr w:rsidR="00B01330" w:rsidRPr="00AB6D0A" w14:paraId="3FC91D6A" w14:textId="77777777" w:rsidTr="00AB6D0A">
        <w:tc>
          <w:tcPr>
            <w:tcW w:w="2879" w:type="dxa"/>
          </w:tcPr>
          <w:p w14:paraId="1DF75E5F" w14:textId="77777777" w:rsidR="00B01330" w:rsidRPr="00AB6D0A" w:rsidRDefault="00B01330" w:rsidP="00EE04C8">
            <w:pPr>
              <w:rPr>
                <w:rFonts w:ascii="Times New Roman" w:hAnsi="Times New Roman" w:cs="Times New Roman"/>
              </w:rPr>
            </w:pPr>
            <w:r w:rsidRPr="00AB6D0A">
              <w:rPr>
                <w:rFonts w:ascii="Times New Roman" w:hAnsi="Times New Roman" w:cs="Times New Roman"/>
              </w:rPr>
              <w:t>Paralogical validity</w:t>
            </w:r>
          </w:p>
        </w:tc>
        <w:tc>
          <w:tcPr>
            <w:tcW w:w="2876" w:type="dxa"/>
          </w:tcPr>
          <w:p w14:paraId="5EE6BA4B" w14:textId="570DAE37" w:rsidR="00B01330" w:rsidRPr="00AB6D0A" w:rsidRDefault="00AB6D0A" w:rsidP="00EE04C8">
            <w:pPr>
              <w:rPr>
                <w:rFonts w:ascii="Times New Roman" w:hAnsi="Times New Roman" w:cs="Times New Roman"/>
              </w:rPr>
            </w:pPr>
            <w:r w:rsidRPr="00AB6D0A">
              <w:rPr>
                <w:rFonts w:ascii="Times New Roman" w:hAnsi="Times New Roman" w:cs="Times New Roman"/>
              </w:rPr>
              <w:t>Recognizing any contradictions, differences, and uncertainties that might emerge through the assignment/rubric scores</w:t>
            </w:r>
          </w:p>
        </w:tc>
        <w:tc>
          <w:tcPr>
            <w:tcW w:w="3510" w:type="dxa"/>
          </w:tcPr>
          <w:p w14:paraId="35EC280C" w14:textId="42E15623" w:rsidR="00B01330" w:rsidRPr="00AB6D0A" w:rsidRDefault="00B01330" w:rsidP="00EE04C8">
            <w:pPr>
              <w:rPr>
                <w:rFonts w:ascii="Times New Roman" w:hAnsi="Times New Roman" w:cs="Times New Roman"/>
              </w:rPr>
            </w:pPr>
          </w:p>
        </w:tc>
      </w:tr>
    </w:tbl>
    <w:p w14:paraId="217A492C" w14:textId="77777777" w:rsidR="00211450" w:rsidRPr="008D303C" w:rsidRDefault="00211450" w:rsidP="00211450"/>
    <w:p w14:paraId="7497DA2B" w14:textId="67B8A886" w:rsidR="00211450" w:rsidRPr="00211450" w:rsidRDefault="00AB6D0A" w:rsidP="00211450">
      <w:pPr>
        <w:rPr>
          <w:rFonts w:ascii="Times New Roman" w:hAnsi="Times New Roman" w:cs="Times New Roman"/>
        </w:rPr>
      </w:pPr>
      <w:r>
        <w:rPr>
          <w:rFonts w:ascii="Times New Roman" w:hAnsi="Times New Roman" w:cs="Times New Roman"/>
        </w:rPr>
        <w:t>Comments:</w:t>
      </w:r>
    </w:p>
    <w:sectPr w:rsidR="00211450" w:rsidRPr="00211450" w:rsidSect="00AB6D0A">
      <w:pgSz w:w="12240" w:h="15840"/>
      <w:pgMar w:top="8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90194"/>
    <w:multiLevelType w:val="hybridMultilevel"/>
    <w:tmpl w:val="4F0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D3D96"/>
    <w:multiLevelType w:val="hybridMultilevel"/>
    <w:tmpl w:val="538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50"/>
    <w:rsid w:val="00042F8A"/>
    <w:rsid w:val="000B2DEB"/>
    <w:rsid w:val="000C6401"/>
    <w:rsid w:val="00211450"/>
    <w:rsid w:val="002C4733"/>
    <w:rsid w:val="005875B8"/>
    <w:rsid w:val="00AB6D0A"/>
    <w:rsid w:val="00B01330"/>
    <w:rsid w:val="00B270AC"/>
    <w:rsid w:val="00CE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276E"/>
  <w15:chartTrackingRefBased/>
  <w15:docId w15:val="{FEBECC5B-6C75-7241-840E-835A76D1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50"/>
    <w:pPr>
      <w:ind w:left="720"/>
      <w:contextualSpacing/>
    </w:pPr>
    <w:rPr>
      <w:rFonts w:ascii="Times New Roman" w:eastAsia="Times New Roman" w:hAnsi="Times New Roman" w:cs="Times New Roman"/>
    </w:rPr>
  </w:style>
  <w:style w:type="table" w:styleId="TableGrid">
    <w:name w:val="Table Grid"/>
    <w:basedOn w:val="TableNormal"/>
    <w:uiPriority w:val="59"/>
    <w:rsid w:val="0021145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F84E56-3925-2441-936F-C54D9518FCD2}" type="doc">
      <dgm:prSet loTypeId="urn:microsoft.com/office/officeart/2005/8/layout/radial1" loCatId="" qsTypeId="urn:microsoft.com/office/officeart/2005/8/quickstyle/simple1" qsCatId="simple" csTypeId="urn:microsoft.com/office/officeart/2005/8/colors/colorful2" csCatId="colorful" phldr="1"/>
      <dgm:spPr/>
      <dgm:t>
        <a:bodyPr/>
        <a:lstStyle/>
        <a:p>
          <a:endParaRPr lang="en-US"/>
        </a:p>
      </dgm:t>
    </dgm:pt>
    <dgm:pt modelId="{8164B9FB-475A-EE4B-BE7A-485C49BFFE33}">
      <dgm:prSet phldrT="[Text]" custT="1"/>
      <dgm:spPr/>
      <dgm:t>
        <a:bodyPr/>
        <a:lstStyle/>
        <a:p>
          <a:r>
            <a:rPr lang="en-US" sz="1000"/>
            <a:t>Quality Assurance </a:t>
          </a:r>
        </a:p>
      </dgm:t>
    </dgm:pt>
    <dgm:pt modelId="{93BF5440-2D6E-934E-8303-E8465F12DA6E}" type="parTrans" cxnId="{2F6E2FFE-7325-FC42-8017-3A3037037CE8}">
      <dgm:prSet/>
      <dgm:spPr/>
      <dgm:t>
        <a:bodyPr/>
        <a:lstStyle/>
        <a:p>
          <a:endParaRPr lang="en-US" sz="1000"/>
        </a:p>
      </dgm:t>
    </dgm:pt>
    <dgm:pt modelId="{A32FA4C3-E3CC-FD48-9236-60D4A377C670}" type="sibTrans" cxnId="{2F6E2FFE-7325-FC42-8017-3A3037037CE8}">
      <dgm:prSet/>
      <dgm:spPr/>
      <dgm:t>
        <a:bodyPr/>
        <a:lstStyle/>
        <a:p>
          <a:endParaRPr lang="en-US" sz="1000"/>
        </a:p>
      </dgm:t>
    </dgm:pt>
    <dgm:pt modelId="{50F7DA3D-AD7D-6548-862F-0943799BB8D3}">
      <dgm:prSet phldrT="[Text]" custT="1"/>
      <dgm:spPr/>
      <dgm:t>
        <a:bodyPr/>
        <a:lstStyle/>
        <a:p>
          <a:r>
            <a:rPr lang="en-US" sz="1200">
              <a:latin typeface="Times New Roman" panose="02020603050405020304" pitchFamily="18" charset="0"/>
              <a:cs typeface="Times New Roman" panose="02020603050405020304" pitchFamily="18" charset="0"/>
            </a:rPr>
            <a:t>Reliability</a:t>
          </a:r>
        </a:p>
      </dgm:t>
    </dgm:pt>
    <dgm:pt modelId="{4A81B96D-57C5-CC45-B5DD-79B63074F3EB}" type="parTrans" cxnId="{787F6274-9D1D-954B-B67B-012234B1D052}">
      <dgm:prSet custT="1"/>
      <dgm:spPr/>
      <dgm:t>
        <a:bodyPr/>
        <a:lstStyle/>
        <a:p>
          <a:endParaRPr lang="en-US" sz="1000"/>
        </a:p>
      </dgm:t>
    </dgm:pt>
    <dgm:pt modelId="{486469FF-2798-BD44-8654-EA9399B488C0}" type="sibTrans" cxnId="{787F6274-9D1D-954B-B67B-012234B1D052}">
      <dgm:prSet/>
      <dgm:spPr/>
      <dgm:t>
        <a:bodyPr/>
        <a:lstStyle/>
        <a:p>
          <a:endParaRPr lang="en-US" sz="1000"/>
        </a:p>
      </dgm:t>
    </dgm:pt>
    <dgm:pt modelId="{140F4A54-94C3-AB4E-A9CC-2B912F20D2DE}">
      <dgm:prSet phldrT="[Text]" custT="1"/>
      <dgm:spPr/>
      <dgm:t>
        <a:bodyPr/>
        <a:lstStyle/>
        <a:p>
          <a:r>
            <a:rPr lang="en-US" sz="1200">
              <a:latin typeface="Times New Roman" panose="02020603050405020304" pitchFamily="18" charset="0"/>
              <a:cs typeface="Times New Roman" panose="02020603050405020304" pitchFamily="18" charset="0"/>
            </a:rPr>
            <a:t>Content Validity</a:t>
          </a:r>
        </a:p>
      </dgm:t>
    </dgm:pt>
    <dgm:pt modelId="{B9405AE0-BFE8-C743-A5A5-6C0795B0A154}" type="parTrans" cxnId="{2DB5EDAD-DA0D-9D40-93B6-F17A0D7FAEEC}">
      <dgm:prSet custT="1"/>
      <dgm:spPr/>
      <dgm:t>
        <a:bodyPr/>
        <a:lstStyle/>
        <a:p>
          <a:endParaRPr lang="en-US" sz="1000"/>
        </a:p>
      </dgm:t>
    </dgm:pt>
    <dgm:pt modelId="{BB2919DF-FF8B-0749-9C41-EBF22F6BFDF9}" type="sibTrans" cxnId="{2DB5EDAD-DA0D-9D40-93B6-F17A0D7FAEEC}">
      <dgm:prSet/>
      <dgm:spPr/>
      <dgm:t>
        <a:bodyPr/>
        <a:lstStyle/>
        <a:p>
          <a:endParaRPr lang="en-US" sz="1000"/>
        </a:p>
      </dgm:t>
    </dgm:pt>
    <dgm:pt modelId="{657F720A-40D5-E945-9499-356ADFB4C133}">
      <dgm:prSet phldrT="[Text]" custT="1"/>
      <dgm:spPr/>
      <dgm:t>
        <a:bodyPr/>
        <a:lstStyle/>
        <a:p>
          <a:r>
            <a:rPr lang="en-US" sz="1200">
              <a:latin typeface="Times New Roman" panose="02020603050405020304" pitchFamily="18" charset="0"/>
              <a:cs typeface="Times New Roman" panose="02020603050405020304" pitchFamily="18" charset="0"/>
            </a:rPr>
            <a:t>EAC Data</a:t>
          </a:r>
        </a:p>
      </dgm:t>
    </dgm:pt>
    <dgm:pt modelId="{8025B3E1-A9AA-C94E-87EE-63562AA7374A}" type="parTrans" cxnId="{0296ECE3-56B2-5845-886E-61C699E00055}">
      <dgm:prSet custT="1"/>
      <dgm:spPr/>
      <dgm:t>
        <a:bodyPr/>
        <a:lstStyle/>
        <a:p>
          <a:endParaRPr lang="en-US" sz="1000"/>
        </a:p>
      </dgm:t>
    </dgm:pt>
    <dgm:pt modelId="{726E7694-B8F3-714E-9003-8F1E69BD2A4A}" type="sibTrans" cxnId="{0296ECE3-56B2-5845-886E-61C699E00055}">
      <dgm:prSet/>
      <dgm:spPr/>
      <dgm:t>
        <a:bodyPr/>
        <a:lstStyle/>
        <a:p>
          <a:endParaRPr lang="en-US" sz="1000"/>
        </a:p>
      </dgm:t>
    </dgm:pt>
    <dgm:pt modelId="{EF48E563-BDBC-234A-8561-42718B62DA39}">
      <dgm:prSet phldrT="[Text]" custT="1"/>
      <dgm:spPr/>
      <dgm:t>
        <a:bodyPr/>
        <a:lstStyle/>
        <a:p>
          <a:r>
            <a:rPr lang="en-US" sz="1200">
              <a:latin typeface="Times New Roman" panose="02020603050405020304" pitchFamily="18" charset="0"/>
              <a:cs typeface="Times New Roman" panose="02020603050405020304" pitchFamily="18" charset="0"/>
            </a:rPr>
            <a:t>Trustworthiness</a:t>
          </a:r>
        </a:p>
      </dgm:t>
    </dgm:pt>
    <dgm:pt modelId="{A494A7B7-6DD9-0143-838D-AC65C1FF1701}" type="parTrans" cxnId="{FF2BC5CD-A8C5-9942-8CFA-76285BBA465C}">
      <dgm:prSet custT="1"/>
      <dgm:spPr/>
      <dgm:t>
        <a:bodyPr/>
        <a:lstStyle/>
        <a:p>
          <a:endParaRPr lang="en-US" sz="1000"/>
        </a:p>
      </dgm:t>
    </dgm:pt>
    <dgm:pt modelId="{BF454BE4-5D67-0D44-99CD-4D87613199AF}" type="sibTrans" cxnId="{FF2BC5CD-A8C5-9942-8CFA-76285BBA465C}">
      <dgm:prSet/>
      <dgm:spPr/>
      <dgm:t>
        <a:bodyPr/>
        <a:lstStyle/>
        <a:p>
          <a:endParaRPr lang="en-US" sz="1000"/>
        </a:p>
      </dgm:t>
    </dgm:pt>
    <dgm:pt modelId="{3E7787C9-17E1-064A-84D4-32A7C716CAB2}" type="pres">
      <dgm:prSet presAssocID="{9CF84E56-3925-2441-936F-C54D9518FCD2}" presName="cycle" presStyleCnt="0">
        <dgm:presLayoutVars>
          <dgm:chMax val="1"/>
          <dgm:dir/>
          <dgm:animLvl val="ctr"/>
          <dgm:resizeHandles val="exact"/>
        </dgm:presLayoutVars>
      </dgm:prSet>
      <dgm:spPr/>
    </dgm:pt>
    <dgm:pt modelId="{5B654559-A504-7647-BCA9-B4C62B223326}" type="pres">
      <dgm:prSet presAssocID="{8164B9FB-475A-EE4B-BE7A-485C49BFFE33}" presName="centerShape" presStyleLbl="node0" presStyleIdx="0" presStyleCnt="1" custScaleX="127117"/>
      <dgm:spPr/>
    </dgm:pt>
    <dgm:pt modelId="{242FE173-9D9C-5849-970E-2D752E2F8C12}" type="pres">
      <dgm:prSet presAssocID="{4A81B96D-57C5-CC45-B5DD-79B63074F3EB}" presName="Name9" presStyleLbl="parChTrans1D2" presStyleIdx="0" presStyleCnt="4"/>
      <dgm:spPr/>
    </dgm:pt>
    <dgm:pt modelId="{240240B5-503D-7045-ABA6-3CDE60C74932}" type="pres">
      <dgm:prSet presAssocID="{4A81B96D-57C5-CC45-B5DD-79B63074F3EB}" presName="connTx" presStyleLbl="parChTrans1D2" presStyleIdx="0" presStyleCnt="4"/>
      <dgm:spPr/>
    </dgm:pt>
    <dgm:pt modelId="{22E798CE-4096-A346-819E-362EFC461A58}" type="pres">
      <dgm:prSet presAssocID="{50F7DA3D-AD7D-6548-862F-0943799BB8D3}" presName="node" presStyleLbl="node1" presStyleIdx="0" presStyleCnt="4" custScaleX="191755" custScaleY="99360">
        <dgm:presLayoutVars>
          <dgm:bulletEnabled val="1"/>
        </dgm:presLayoutVars>
      </dgm:prSet>
      <dgm:spPr/>
    </dgm:pt>
    <dgm:pt modelId="{DC83ACCA-2AE7-D240-B59D-407AA27C559B}" type="pres">
      <dgm:prSet presAssocID="{B9405AE0-BFE8-C743-A5A5-6C0795B0A154}" presName="Name9" presStyleLbl="parChTrans1D2" presStyleIdx="1" presStyleCnt="4"/>
      <dgm:spPr/>
    </dgm:pt>
    <dgm:pt modelId="{6245BB13-FE39-E647-B9F4-BE95987467D9}" type="pres">
      <dgm:prSet presAssocID="{B9405AE0-BFE8-C743-A5A5-6C0795B0A154}" presName="connTx" presStyleLbl="parChTrans1D2" presStyleIdx="1" presStyleCnt="4"/>
      <dgm:spPr/>
    </dgm:pt>
    <dgm:pt modelId="{8DDF2C5B-4C11-EA49-BDB4-84D006DF165D}" type="pres">
      <dgm:prSet presAssocID="{140F4A54-94C3-AB4E-A9CC-2B912F20D2DE}" presName="node" presStyleLbl="node1" presStyleIdx="1" presStyleCnt="4" custScaleX="204012" custScaleY="110483" custRadScaleRad="150343" custRadScaleInc="3939">
        <dgm:presLayoutVars>
          <dgm:bulletEnabled val="1"/>
        </dgm:presLayoutVars>
      </dgm:prSet>
      <dgm:spPr/>
    </dgm:pt>
    <dgm:pt modelId="{57871DEF-D426-464E-894D-EACAF364171E}" type="pres">
      <dgm:prSet presAssocID="{8025B3E1-A9AA-C94E-87EE-63562AA7374A}" presName="Name9" presStyleLbl="parChTrans1D2" presStyleIdx="2" presStyleCnt="4"/>
      <dgm:spPr/>
    </dgm:pt>
    <dgm:pt modelId="{8F1D5046-136F-CC44-B091-95AFEC560E6F}" type="pres">
      <dgm:prSet presAssocID="{8025B3E1-A9AA-C94E-87EE-63562AA7374A}" presName="connTx" presStyleLbl="parChTrans1D2" presStyleIdx="2" presStyleCnt="4"/>
      <dgm:spPr/>
    </dgm:pt>
    <dgm:pt modelId="{A6BED5FB-E396-1B40-AA31-19F9B4667511}" type="pres">
      <dgm:prSet presAssocID="{657F720A-40D5-E945-9499-356ADFB4C133}" presName="node" presStyleLbl="node1" presStyleIdx="2" presStyleCnt="4" custScaleX="220007" custScaleY="111599">
        <dgm:presLayoutVars>
          <dgm:bulletEnabled val="1"/>
        </dgm:presLayoutVars>
      </dgm:prSet>
      <dgm:spPr/>
    </dgm:pt>
    <dgm:pt modelId="{A31C2E20-830B-DD4E-9FB7-766BD72FC40E}" type="pres">
      <dgm:prSet presAssocID="{A494A7B7-6DD9-0143-838D-AC65C1FF1701}" presName="Name9" presStyleLbl="parChTrans1D2" presStyleIdx="3" presStyleCnt="4"/>
      <dgm:spPr/>
    </dgm:pt>
    <dgm:pt modelId="{5188AFEF-A38C-904A-AFBB-C4A54D63E232}" type="pres">
      <dgm:prSet presAssocID="{A494A7B7-6DD9-0143-838D-AC65C1FF1701}" presName="connTx" presStyleLbl="parChTrans1D2" presStyleIdx="3" presStyleCnt="4"/>
      <dgm:spPr/>
    </dgm:pt>
    <dgm:pt modelId="{0A4441D7-25D4-2D46-A241-4F32638FF444}" type="pres">
      <dgm:prSet presAssocID="{EF48E563-BDBC-234A-8561-42718B62DA39}" presName="node" presStyleLbl="node1" presStyleIdx="3" presStyleCnt="4" custScaleX="195530" custScaleY="123106" custRadScaleRad="138759" custRadScaleInc="-1422">
        <dgm:presLayoutVars>
          <dgm:bulletEnabled val="1"/>
        </dgm:presLayoutVars>
      </dgm:prSet>
      <dgm:spPr/>
    </dgm:pt>
  </dgm:ptLst>
  <dgm:cxnLst>
    <dgm:cxn modelId="{503B3300-6E60-104D-BE6A-3DFCE3ADFA2A}" type="presOf" srcId="{A494A7B7-6DD9-0143-838D-AC65C1FF1701}" destId="{5188AFEF-A38C-904A-AFBB-C4A54D63E232}" srcOrd="1" destOrd="0" presId="urn:microsoft.com/office/officeart/2005/8/layout/radial1"/>
    <dgm:cxn modelId="{B9FA0F02-F6FA-5342-A773-9474479FD567}" type="presOf" srcId="{8025B3E1-A9AA-C94E-87EE-63562AA7374A}" destId="{57871DEF-D426-464E-894D-EACAF364171E}" srcOrd="0" destOrd="0" presId="urn:microsoft.com/office/officeart/2005/8/layout/radial1"/>
    <dgm:cxn modelId="{1EED6D0C-E7A1-B147-87DF-01C008CBDB1C}" type="presOf" srcId="{4A81B96D-57C5-CC45-B5DD-79B63074F3EB}" destId="{240240B5-503D-7045-ABA6-3CDE60C74932}" srcOrd="1" destOrd="0" presId="urn:microsoft.com/office/officeart/2005/8/layout/radial1"/>
    <dgm:cxn modelId="{0C846710-4289-F442-9D88-F27085FD11CA}" type="presOf" srcId="{140F4A54-94C3-AB4E-A9CC-2B912F20D2DE}" destId="{8DDF2C5B-4C11-EA49-BDB4-84D006DF165D}" srcOrd="0" destOrd="0" presId="urn:microsoft.com/office/officeart/2005/8/layout/radial1"/>
    <dgm:cxn modelId="{23F30B34-CA71-AE47-9A1A-59D48076C3CB}" type="presOf" srcId="{B9405AE0-BFE8-C743-A5A5-6C0795B0A154}" destId="{DC83ACCA-2AE7-D240-B59D-407AA27C559B}" srcOrd="0" destOrd="0" presId="urn:microsoft.com/office/officeart/2005/8/layout/radial1"/>
    <dgm:cxn modelId="{D1E75750-6303-3B4F-AD83-580179CA9EAE}" type="presOf" srcId="{50F7DA3D-AD7D-6548-862F-0943799BB8D3}" destId="{22E798CE-4096-A346-819E-362EFC461A58}" srcOrd="0" destOrd="0" presId="urn:microsoft.com/office/officeart/2005/8/layout/radial1"/>
    <dgm:cxn modelId="{04B1086D-463D-444A-8811-CE5240179EC6}" type="presOf" srcId="{8025B3E1-A9AA-C94E-87EE-63562AA7374A}" destId="{8F1D5046-136F-CC44-B091-95AFEC560E6F}" srcOrd="1" destOrd="0" presId="urn:microsoft.com/office/officeart/2005/8/layout/radial1"/>
    <dgm:cxn modelId="{6B8AE46E-9E63-EF4A-959C-7B54C54B9EC8}" type="presOf" srcId="{A494A7B7-6DD9-0143-838D-AC65C1FF1701}" destId="{A31C2E20-830B-DD4E-9FB7-766BD72FC40E}" srcOrd="0" destOrd="0" presId="urn:microsoft.com/office/officeart/2005/8/layout/radial1"/>
    <dgm:cxn modelId="{787F6274-9D1D-954B-B67B-012234B1D052}" srcId="{8164B9FB-475A-EE4B-BE7A-485C49BFFE33}" destId="{50F7DA3D-AD7D-6548-862F-0943799BB8D3}" srcOrd="0" destOrd="0" parTransId="{4A81B96D-57C5-CC45-B5DD-79B63074F3EB}" sibTransId="{486469FF-2798-BD44-8654-EA9399B488C0}"/>
    <dgm:cxn modelId="{DC19E380-4223-6145-941B-D51DD5A7962F}" type="presOf" srcId="{657F720A-40D5-E945-9499-356ADFB4C133}" destId="{A6BED5FB-E396-1B40-AA31-19F9B4667511}" srcOrd="0" destOrd="0" presId="urn:microsoft.com/office/officeart/2005/8/layout/radial1"/>
    <dgm:cxn modelId="{DF68D888-1D2A-3642-B90C-79DF07C1AE74}" type="presOf" srcId="{8164B9FB-475A-EE4B-BE7A-485C49BFFE33}" destId="{5B654559-A504-7647-BCA9-B4C62B223326}" srcOrd="0" destOrd="0" presId="urn:microsoft.com/office/officeart/2005/8/layout/radial1"/>
    <dgm:cxn modelId="{11F4D98E-594F-524F-AC9F-EC1B473174E1}" type="presOf" srcId="{9CF84E56-3925-2441-936F-C54D9518FCD2}" destId="{3E7787C9-17E1-064A-84D4-32A7C716CAB2}" srcOrd="0" destOrd="0" presId="urn:microsoft.com/office/officeart/2005/8/layout/radial1"/>
    <dgm:cxn modelId="{4E2CCF97-143A-904C-B561-30666C882EA9}" type="presOf" srcId="{B9405AE0-BFE8-C743-A5A5-6C0795B0A154}" destId="{6245BB13-FE39-E647-B9F4-BE95987467D9}" srcOrd="1" destOrd="0" presId="urn:microsoft.com/office/officeart/2005/8/layout/radial1"/>
    <dgm:cxn modelId="{2DB5EDAD-DA0D-9D40-93B6-F17A0D7FAEEC}" srcId="{8164B9FB-475A-EE4B-BE7A-485C49BFFE33}" destId="{140F4A54-94C3-AB4E-A9CC-2B912F20D2DE}" srcOrd="1" destOrd="0" parTransId="{B9405AE0-BFE8-C743-A5A5-6C0795B0A154}" sibTransId="{BB2919DF-FF8B-0749-9C41-EBF22F6BFDF9}"/>
    <dgm:cxn modelId="{FF2BC5CD-A8C5-9942-8CFA-76285BBA465C}" srcId="{8164B9FB-475A-EE4B-BE7A-485C49BFFE33}" destId="{EF48E563-BDBC-234A-8561-42718B62DA39}" srcOrd="3" destOrd="0" parTransId="{A494A7B7-6DD9-0143-838D-AC65C1FF1701}" sibTransId="{BF454BE4-5D67-0D44-99CD-4D87613199AF}"/>
    <dgm:cxn modelId="{A42A14DE-9CB4-3B4F-88A2-063303C14E21}" type="presOf" srcId="{4A81B96D-57C5-CC45-B5DD-79B63074F3EB}" destId="{242FE173-9D9C-5849-970E-2D752E2F8C12}" srcOrd="0" destOrd="0" presId="urn:microsoft.com/office/officeart/2005/8/layout/radial1"/>
    <dgm:cxn modelId="{0296ECE3-56B2-5845-886E-61C699E00055}" srcId="{8164B9FB-475A-EE4B-BE7A-485C49BFFE33}" destId="{657F720A-40D5-E945-9499-356ADFB4C133}" srcOrd="2" destOrd="0" parTransId="{8025B3E1-A9AA-C94E-87EE-63562AA7374A}" sibTransId="{726E7694-B8F3-714E-9003-8F1E69BD2A4A}"/>
    <dgm:cxn modelId="{1EAB09E8-6747-2C47-BD7D-8510A876D444}" type="presOf" srcId="{EF48E563-BDBC-234A-8561-42718B62DA39}" destId="{0A4441D7-25D4-2D46-A241-4F32638FF444}" srcOrd="0" destOrd="0" presId="urn:microsoft.com/office/officeart/2005/8/layout/radial1"/>
    <dgm:cxn modelId="{2F6E2FFE-7325-FC42-8017-3A3037037CE8}" srcId="{9CF84E56-3925-2441-936F-C54D9518FCD2}" destId="{8164B9FB-475A-EE4B-BE7A-485C49BFFE33}" srcOrd="0" destOrd="0" parTransId="{93BF5440-2D6E-934E-8303-E8465F12DA6E}" sibTransId="{A32FA4C3-E3CC-FD48-9236-60D4A377C670}"/>
    <dgm:cxn modelId="{A7075114-4ACE-584F-80C3-83DB1EFFD545}" type="presParOf" srcId="{3E7787C9-17E1-064A-84D4-32A7C716CAB2}" destId="{5B654559-A504-7647-BCA9-B4C62B223326}" srcOrd="0" destOrd="0" presId="urn:microsoft.com/office/officeart/2005/8/layout/radial1"/>
    <dgm:cxn modelId="{A6EB0728-2467-5C44-AA45-85A807A30F7B}" type="presParOf" srcId="{3E7787C9-17E1-064A-84D4-32A7C716CAB2}" destId="{242FE173-9D9C-5849-970E-2D752E2F8C12}" srcOrd="1" destOrd="0" presId="urn:microsoft.com/office/officeart/2005/8/layout/radial1"/>
    <dgm:cxn modelId="{2C4E41C7-DF9A-7946-BCB3-C47A62C45560}" type="presParOf" srcId="{242FE173-9D9C-5849-970E-2D752E2F8C12}" destId="{240240B5-503D-7045-ABA6-3CDE60C74932}" srcOrd="0" destOrd="0" presId="urn:microsoft.com/office/officeart/2005/8/layout/radial1"/>
    <dgm:cxn modelId="{890D4734-D87D-B342-B1E7-9BE22574E9B3}" type="presParOf" srcId="{3E7787C9-17E1-064A-84D4-32A7C716CAB2}" destId="{22E798CE-4096-A346-819E-362EFC461A58}" srcOrd="2" destOrd="0" presId="urn:microsoft.com/office/officeart/2005/8/layout/radial1"/>
    <dgm:cxn modelId="{C3DC55BA-7391-724E-A957-F64F91E74E36}" type="presParOf" srcId="{3E7787C9-17E1-064A-84D4-32A7C716CAB2}" destId="{DC83ACCA-2AE7-D240-B59D-407AA27C559B}" srcOrd="3" destOrd="0" presId="urn:microsoft.com/office/officeart/2005/8/layout/radial1"/>
    <dgm:cxn modelId="{C37BC1A5-1C81-414D-B511-E223FAE9108B}" type="presParOf" srcId="{DC83ACCA-2AE7-D240-B59D-407AA27C559B}" destId="{6245BB13-FE39-E647-B9F4-BE95987467D9}" srcOrd="0" destOrd="0" presId="urn:microsoft.com/office/officeart/2005/8/layout/radial1"/>
    <dgm:cxn modelId="{AD60D7CE-6BDA-BE4B-A07E-377724A8E4A7}" type="presParOf" srcId="{3E7787C9-17E1-064A-84D4-32A7C716CAB2}" destId="{8DDF2C5B-4C11-EA49-BDB4-84D006DF165D}" srcOrd="4" destOrd="0" presId="urn:microsoft.com/office/officeart/2005/8/layout/radial1"/>
    <dgm:cxn modelId="{A380A2DB-A59A-9D48-B5F7-037B3B3A4652}" type="presParOf" srcId="{3E7787C9-17E1-064A-84D4-32A7C716CAB2}" destId="{57871DEF-D426-464E-894D-EACAF364171E}" srcOrd="5" destOrd="0" presId="urn:microsoft.com/office/officeart/2005/8/layout/radial1"/>
    <dgm:cxn modelId="{7FF22A56-210D-E446-B926-FDF1190CED04}" type="presParOf" srcId="{57871DEF-D426-464E-894D-EACAF364171E}" destId="{8F1D5046-136F-CC44-B091-95AFEC560E6F}" srcOrd="0" destOrd="0" presId="urn:microsoft.com/office/officeart/2005/8/layout/radial1"/>
    <dgm:cxn modelId="{E8C4AC5A-F6A4-5B46-9F15-C57341EC96D0}" type="presParOf" srcId="{3E7787C9-17E1-064A-84D4-32A7C716CAB2}" destId="{A6BED5FB-E396-1B40-AA31-19F9B4667511}" srcOrd="6" destOrd="0" presId="urn:microsoft.com/office/officeart/2005/8/layout/radial1"/>
    <dgm:cxn modelId="{5B093777-7337-034C-B661-67B250BBF9DC}" type="presParOf" srcId="{3E7787C9-17E1-064A-84D4-32A7C716CAB2}" destId="{A31C2E20-830B-DD4E-9FB7-766BD72FC40E}" srcOrd="7" destOrd="0" presId="urn:microsoft.com/office/officeart/2005/8/layout/radial1"/>
    <dgm:cxn modelId="{D7411269-3AF0-E343-8D8A-FA75B2B5876D}" type="presParOf" srcId="{A31C2E20-830B-DD4E-9FB7-766BD72FC40E}" destId="{5188AFEF-A38C-904A-AFBB-C4A54D63E232}" srcOrd="0" destOrd="0" presId="urn:microsoft.com/office/officeart/2005/8/layout/radial1"/>
    <dgm:cxn modelId="{7227F5D7-775A-E54D-A9E7-22C30A11E2AC}" type="presParOf" srcId="{3E7787C9-17E1-064A-84D4-32A7C716CAB2}" destId="{0A4441D7-25D4-2D46-A241-4F32638FF444}" srcOrd="8"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54559-A504-7647-BCA9-B4C62B223326}">
      <dsp:nvSpPr>
        <dsp:cNvPr id="0" name=""/>
        <dsp:cNvSpPr/>
      </dsp:nvSpPr>
      <dsp:spPr>
        <a:xfrm>
          <a:off x="1464593" y="925158"/>
          <a:ext cx="915142" cy="719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Quality Assurance </a:t>
          </a:r>
        </a:p>
      </dsp:txBody>
      <dsp:txXfrm>
        <a:off x="1598612" y="1030588"/>
        <a:ext cx="647104" cy="509061"/>
      </dsp:txXfrm>
    </dsp:sp>
    <dsp:sp modelId="{242FE173-9D9C-5849-970E-2D752E2F8C12}">
      <dsp:nvSpPr>
        <dsp:cNvPr id="0" name=""/>
        <dsp:cNvSpPr/>
      </dsp:nvSpPr>
      <dsp:spPr>
        <a:xfrm rot="16200000">
          <a:off x="1812296" y="798569"/>
          <a:ext cx="219736" cy="33442"/>
        </a:xfrm>
        <a:custGeom>
          <a:avLst/>
          <a:gdLst/>
          <a:ahLst/>
          <a:cxnLst/>
          <a:rect l="0" t="0" r="0" b="0"/>
          <a:pathLst>
            <a:path>
              <a:moveTo>
                <a:pt x="0" y="16721"/>
              </a:moveTo>
              <a:lnTo>
                <a:pt x="219736" y="1672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916671" y="809797"/>
        <a:ext cx="10986" cy="10986"/>
      </dsp:txXfrm>
    </dsp:sp>
    <dsp:sp modelId="{22E798CE-4096-A346-819E-362EFC461A58}">
      <dsp:nvSpPr>
        <dsp:cNvPr id="0" name=""/>
        <dsp:cNvSpPr/>
      </dsp:nvSpPr>
      <dsp:spPr>
        <a:xfrm>
          <a:off x="1231921" y="-9891"/>
          <a:ext cx="1380485" cy="715314"/>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Reliability</a:t>
          </a:r>
        </a:p>
      </dsp:txBody>
      <dsp:txXfrm>
        <a:off x="1434088" y="94864"/>
        <a:ext cx="976151" cy="505804"/>
      </dsp:txXfrm>
    </dsp:sp>
    <dsp:sp modelId="{DC83ACCA-2AE7-D240-B59D-407AA27C559B}">
      <dsp:nvSpPr>
        <dsp:cNvPr id="0" name=""/>
        <dsp:cNvSpPr/>
      </dsp:nvSpPr>
      <dsp:spPr>
        <a:xfrm rot="122946">
          <a:off x="2379254" y="1285262"/>
          <a:ext cx="28486" cy="33442"/>
        </a:xfrm>
        <a:custGeom>
          <a:avLst/>
          <a:gdLst/>
          <a:ahLst/>
          <a:cxnLst/>
          <a:rect l="0" t="0" r="0" b="0"/>
          <a:pathLst>
            <a:path>
              <a:moveTo>
                <a:pt x="0" y="16721"/>
              </a:moveTo>
              <a:lnTo>
                <a:pt x="28486" y="1672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392785" y="1301271"/>
        <a:ext cx="1424" cy="1424"/>
      </dsp:txXfrm>
    </dsp:sp>
    <dsp:sp modelId="{8DDF2C5B-4C11-EA49-BDB4-84D006DF165D}">
      <dsp:nvSpPr>
        <dsp:cNvPr id="0" name=""/>
        <dsp:cNvSpPr/>
      </dsp:nvSpPr>
      <dsp:spPr>
        <a:xfrm>
          <a:off x="2406134" y="931014"/>
          <a:ext cx="1468726" cy="795391"/>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Content Validity</a:t>
          </a:r>
        </a:p>
      </dsp:txBody>
      <dsp:txXfrm>
        <a:off x="2621224" y="1047496"/>
        <a:ext cx="1038546" cy="562427"/>
      </dsp:txXfrm>
    </dsp:sp>
    <dsp:sp modelId="{57871DEF-D426-464E-894D-EACAF364171E}">
      <dsp:nvSpPr>
        <dsp:cNvPr id="0" name=""/>
        <dsp:cNvSpPr/>
      </dsp:nvSpPr>
      <dsp:spPr>
        <a:xfrm rot="5400000">
          <a:off x="1834324" y="1716199"/>
          <a:ext cx="175680" cy="33442"/>
        </a:xfrm>
        <a:custGeom>
          <a:avLst/>
          <a:gdLst/>
          <a:ahLst/>
          <a:cxnLst/>
          <a:rect l="0" t="0" r="0" b="0"/>
          <a:pathLst>
            <a:path>
              <a:moveTo>
                <a:pt x="0" y="16721"/>
              </a:moveTo>
              <a:lnTo>
                <a:pt x="175680" y="1672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917772" y="1728528"/>
        <a:ext cx="8784" cy="8784"/>
      </dsp:txXfrm>
    </dsp:sp>
    <dsp:sp modelId="{A6BED5FB-E396-1B40-AA31-19F9B4667511}">
      <dsp:nvSpPr>
        <dsp:cNvPr id="0" name=""/>
        <dsp:cNvSpPr/>
      </dsp:nvSpPr>
      <dsp:spPr>
        <a:xfrm>
          <a:off x="1130225" y="1820761"/>
          <a:ext cx="1583878" cy="803425"/>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EAC Data</a:t>
          </a:r>
        </a:p>
      </dsp:txBody>
      <dsp:txXfrm>
        <a:off x="1362179" y="1938420"/>
        <a:ext cx="1119970" cy="568107"/>
      </dsp:txXfrm>
    </dsp:sp>
    <dsp:sp modelId="{A31C2E20-830B-DD4E-9FB7-766BD72FC40E}">
      <dsp:nvSpPr>
        <dsp:cNvPr id="0" name=""/>
        <dsp:cNvSpPr/>
      </dsp:nvSpPr>
      <dsp:spPr>
        <a:xfrm rot="10759014">
          <a:off x="1407534" y="1274193"/>
          <a:ext cx="57112" cy="33442"/>
        </a:xfrm>
        <a:custGeom>
          <a:avLst/>
          <a:gdLst/>
          <a:ahLst/>
          <a:cxnLst/>
          <a:rect l="0" t="0" r="0" b="0"/>
          <a:pathLst>
            <a:path>
              <a:moveTo>
                <a:pt x="0" y="16721"/>
              </a:moveTo>
              <a:lnTo>
                <a:pt x="57112" y="1672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1434663" y="1289487"/>
        <a:ext cx="2855" cy="2855"/>
      </dsp:txXfrm>
    </dsp:sp>
    <dsp:sp modelId="{0A4441D7-25D4-2D46-A241-4F32638FF444}">
      <dsp:nvSpPr>
        <dsp:cNvPr id="0" name=""/>
        <dsp:cNvSpPr/>
      </dsp:nvSpPr>
      <dsp:spPr>
        <a:xfrm>
          <a:off x="0" y="856512"/>
          <a:ext cx="1407663" cy="886266"/>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Trustworthiness</a:t>
          </a:r>
        </a:p>
      </dsp:txBody>
      <dsp:txXfrm>
        <a:off x="206147" y="986303"/>
        <a:ext cx="995369" cy="6266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 Weinbaum</dc:creator>
  <cp:keywords/>
  <dc:description/>
  <cp:lastModifiedBy>Rebecca K Weinbaum</cp:lastModifiedBy>
  <cp:revision>2</cp:revision>
  <dcterms:created xsi:type="dcterms:W3CDTF">2020-10-22T17:30:00Z</dcterms:created>
  <dcterms:modified xsi:type="dcterms:W3CDTF">2020-10-22T17:30:00Z</dcterms:modified>
</cp:coreProperties>
</file>